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Layout w:type="fixed"/>
      </w:tblPr>
      <w:tblGrid>
        <w:gridCol w:w="4961"/>
        <w:gridCol w:w="4961"/>
      </w:tblGrid>
      <w:tr>
        <w:tc>
          <w:tcPr>
            <w:tcW w:type="dxa" w:w="4961"/>
          </w:tcPr>
          <w:p w14:paraId="01000000">
            <w:pPr>
              <w:pStyle w:val="Style_2"/>
              <w:tabs>
                <w:tab w:leader="none" w:pos="10269" w:val="left"/>
              </w:tabs>
              <w:spacing w:line="288" w:lineRule="auto"/>
              <w:ind w:right="1038"/>
              <w:jc w:val="left"/>
            </w:pPr>
            <w:r>
              <w:t xml:space="preserve">            </w:t>
            </w:r>
          </w:p>
        </w:tc>
        <w:tc>
          <w:tcPr>
            <w:tcW w:type="dxa" w:w="4961"/>
          </w:tcPr>
          <w:p w14:paraId="02000000">
            <w:pPr>
              <w:pStyle w:val="Style_2"/>
              <w:tabs>
                <w:tab w:leader="none" w:pos="10269" w:val="left"/>
              </w:tabs>
              <w:spacing w:line="288" w:lineRule="auto"/>
              <w:ind w:right="1038"/>
              <w:jc w:val="left"/>
            </w:pPr>
            <w:r>
              <w:t xml:space="preserve">               </w:t>
            </w:r>
            <w:r>
              <w:t xml:space="preserve">                </w:t>
            </w:r>
            <w:r>
              <w:t>УТВЕРЖДАЮ:</w:t>
            </w:r>
          </w:p>
          <w:p w14:paraId="03000000">
            <w:pPr>
              <w:widowControl w:val="1"/>
              <w:tabs>
                <w:tab w:leader="none" w:pos="10269" w:val="left"/>
              </w:tabs>
              <w:spacing w:line="288" w:lineRule="auto"/>
              <w:ind w:right="1038"/>
              <w:jc w:val="left"/>
            </w:pPr>
            <w:r>
              <w:t xml:space="preserve">      </w:t>
            </w:r>
            <w:r>
              <w:t>Председатель ОО</w:t>
            </w:r>
            <w:r>
              <w:t xml:space="preserve"> «Карпинск</w:t>
            </w:r>
            <w:r>
              <w:t>ая</w:t>
            </w:r>
          </w:p>
          <w:p w14:paraId="04000000">
            <w:pPr>
              <w:widowControl w:val="1"/>
              <w:tabs>
                <w:tab w:leader="none" w:pos="10269" w:val="left"/>
              </w:tabs>
              <w:spacing w:line="288" w:lineRule="auto"/>
              <w:ind w:right="1038"/>
              <w:jc w:val="left"/>
            </w:pPr>
            <w:r>
              <w:t xml:space="preserve">         </w:t>
            </w:r>
            <w:r>
              <w:t>городская Федерация</w:t>
            </w:r>
            <w:r>
              <w:t xml:space="preserve"> </w:t>
            </w:r>
          </w:p>
          <w:p w14:paraId="05000000">
            <w:pPr>
              <w:widowControl w:val="1"/>
              <w:tabs>
                <w:tab w:leader="none" w:pos="10269" w:val="left"/>
              </w:tabs>
              <w:spacing w:line="288" w:lineRule="auto"/>
              <w:ind w:right="1038"/>
              <w:jc w:val="left"/>
            </w:pPr>
            <w:r>
              <w:t xml:space="preserve">                      </w:t>
            </w:r>
            <w:r>
              <w:t>шахмат</w:t>
            </w:r>
            <w:r>
              <w:t>»</w:t>
            </w:r>
          </w:p>
          <w:p w14:paraId="06000000">
            <w:pPr>
              <w:widowControl w:val="1"/>
              <w:tabs>
                <w:tab w:leader="none" w:pos="10269" w:val="left"/>
              </w:tabs>
              <w:spacing w:line="288" w:lineRule="auto"/>
              <w:ind w:right="1038"/>
              <w:jc w:val="left"/>
            </w:pPr>
            <w:r>
              <w:t xml:space="preserve">       </w:t>
            </w:r>
            <w:r>
              <w:t xml:space="preserve">______________ </w:t>
            </w:r>
            <w:r>
              <w:t>В</w:t>
            </w:r>
            <w:r>
              <w:t>.</w:t>
            </w:r>
            <w:r>
              <w:t>И</w:t>
            </w:r>
            <w:r>
              <w:t>.</w:t>
            </w:r>
            <w:r>
              <w:t>Савчук</w:t>
            </w:r>
          </w:p>
          <w:p w14:paraId="07000000">
            <w:pPr>
              <w:widowControl w:val="1"/>
              <w:tabs>
                <w:tab w:leader="none" w:pos="10269" w:val="left"/>
              </w:tabs>
              <w:spacing w:line="288" w:lineRule="auto"/>
              <w:ind w:right="1038"/>
              <w:jc w:val="left"/>
            </w:pPr>
            <w:r>
              <w:t xml:space="preserve"> </w:t>
            </w:r>
            <w:r>
              <w:t xml:space="preserve">      </w:t>
            </w:r>
            <w:r>
              <w:t xml:space="preserve"> 05</w:t>
            </w:r>
            <w:r>
              <w:t xml:space="preserve"> ноября</w:t>
            </w:r>
            <w:r>
              <w:t xml:space="preserve"> 20</w:t>
            </w:r>
            <w:r>
              <w:t>26</w:t>
            </w:r>
            <w:r>
              <w:t>г.</w:t>
            </w:r>
          </w:p>
          <w:p w14:paraId="08000000"/>
          <w:p w14:paraId="09000000">
            <w:pPr>
              <w:pStyle w:val="Style_2"/>
              <w:tabs>
                <w:tab w:leader="none" w:pos="10269" w:val="left"/>
              </w:tabs>
              <w:spacing w:line="288" w:lineRule="auto"/>
              <w:ind w:right="1038"/>
              <w:jc w:val="left"/>
            </w:pPr>
          </w:p>
        </w:tc>
      </w:tr>
    </w:tbl>
    <w:p w14:paraId="0A000000">
      <w:pPr>
        <w:pStyle w:val="Style_3"/>
        <w:widowControl w:val="1"/>
        <w:spacing w:after="120" w:line="250" w:lineRule="exact"/>
        <w:ind/>
        <w:jc w:val="center"/>
        <w:rPr>
          <w:rStyle w:val="Style_4_ch"/>
          <w:sz w:val="24"/>
        </w:rPr>
      </w:pPr>
      <w:r>
        <w:rPr>
          <w:rStyle w:val="Style_4_ch"/>
          <w:sz w:val="24"/>
        </w:rPr>
        <w:t>ПОЛОЖЕНИЕ</w:t>
      </w:r>
    </w:p>
    <w:p w14:paraId="0B000000">
      <w:pPr>
        <w:pStyle w:val="Style_5"/>
        <w:keepNext w:val="1"/>
        <w:keepLines w:val="1"/>
        <w:spacing w:after="0"/>
        <w:ind w:right="47"/>
        <w:jc w:val="center"/>
        <w:rPr>
          <w:b w:val="1"/>
          <w:sz w:val="24"/>
        </w:rPr>
      </w:pPr>
      <w:r>
        <w:rPr>
          <w:b w:val="1"/>
          <w:sz w:val="24"/>
        </w:rPr>
        <w:t xml:space="preserve">о проведении </w:t>
      </w:r>
      <w:r>
        <w:rPr>
          <w:b w:val="1"/>
          <w:sz w:val="24"/>
        </w:rPr>
        <w:t xml:space="preserve">турнира по </w:t>
      </w:r>
      <w:r>
        <w:rPr>
          <w:b w:val="1"/>
          <w:sz w:val="24"/>
        </w:rPr>
        <w:t>шахматам, посвященного памяти Андрея Лашкевича</w:t>
      </w:r>
    </w:p>
    <w:p w14:paraId="0C000000">
      <w:pPr>
        <w:pStyle w:val="Style_3"/>
        <w:widowControl w:val="1"/>
        <w:spacing w:line="276" w:lineRule="auto"/>
        <w:ind/>
        <w:jc w:val="center"/>
        <w:rPr>
          <w:rStyle w:val="Style_4_ch"/>
          <w:sz w:val="24"/>
        </w:rPr>
      </w:pPr>
    </w:p>
    <w:p w14:paraId="0D000000">
      <w:pPr>
        <w:pStyle w:val="Style_3"/>
        <w:widowControl w:val="1"/>
        <w:numPr>
          <w:ilvl w:val="0"/>
          <w:numId w:val="1"/>
        </w:numPr>
        <w:tabs>
          <w:tab w:leader="none" w:pos="0" w:val="left"/>
        </w:tabs>
        <w:spacing w:after="120" w:before="120"/>
        <w:ind/>
        <w:jc w:val="center"/>
        <w:rPr>
          <w:rStyle w:val="Style_4_ch"/>
          <w:sz w:val="24"/>
        </w:rPr>
      </w:pPr>
      <w:r>
        <w:rPr>
          <w:rStyle w:val="Style_4_ch"/>
          <w:sz w:val="24"/>
        </w:rPr>
        <w:t>Цели и задачи</w:t>
      </w:r>
    </w:p>
    <w:p w14:paraId="0E000000">
      <w:pPr>
        <w:pStyle w:val="Style_6"/>
        <w:widowControl w:val="1"/>
        <w:spacing w:before="58" w:line="276" w:lineRule="auto"/>
        <w:ind w:firstLine="544" w:left="0"/>
        <w:rPr>
          <w:rStyle w:val="Style_7_ch"/>
          <w:sz w:val="24"/>
        </w:rPr>
      </w:pPr>
      <w:r>
        <w:rPr>
          <w:rStyle w:val="Style_7_ch"/>
          <w:sz w:val="24"/>
        </w:rPr>
        <w:t>П</w:t>
      </w:r>
      <w:r>
        <w:rPr>
          <w:rStyle w:val="Style_7_ch"/>
          <w:sz w:val="24"/>
        </w:rPr>
        <w:t>опуляризаци</w:t>
      </w:r>
      <w:r>
        <w:rPr>
          <w:rStyle w:val="Style_7_ch"/>
          <w:sz w:val="24"/>
        </w:rPr>
        <w:t>я</w:t>
      </w:r>
      <w:r>
        <w:rPr>
          <w:rStyle w:val="Style_7_ch"/>
          <w:sz w:val="24"/>
        </w:rPr>
        <w:t xml:space="preserve"> и пропа</w:t>
      </w:r>
      <w:r>
        <w:rPr>
          <w:rStyle w:val="Style_7_ch"/>
          <w:sz w:val="24"/>
        </w:rPr>
        <w:t>ганд</w:t>
      </w:r>
      <w:r>
        <w:rPr>
          <w:rStyle w:val="Style_7_ch"/>
          <w:sz w:val="24"/>
        </w:rPr>
        <w:t>а</w:t>
      </w:r>
      <w:r>
        <w:rPr>
          <w:rStyle w:val="Style_7_ch"/>
          <w:sz w:val="24"/>
        </w:rPr>
        <w:t xml:space="preserve"> шахмат в </w:t>
      </w:r>
      <w:r>
        <w:rPr>
          <w:rStyle w:val="Style_7_ch"/>
          <w:sz w:val="24"/>
        </w:rPr>
        <w:t xml:space="preserve">городе </w:t>
      </w:r>
      <w:r>
        <w:rPr>
          <w:rStyle w:val="Style_7_ch"/>
          <w:sz w:val="24"/>
        </w:rPr>
        <w:t>Карпинске</w:t>
      </w:r>
      <w:r>
        <w:rPr>
          <w:rStyle w:val="Style_7_ch"/>
          <w:sz w:val="24"/>
        </w:rPr>
        <w:t xml:space="preserve"> и Свердловской области, повышение мастерства и квали</w:t>
      </w:r>
      <w:r>
        <w:rPr>
          <w:rStyle w:val="Style_7_ch"/>
          <w:sz w:val="24"/>
        </w:rPr>
        <w:t>фикации шахмати</w:t>
      </w:r>
      <w:r>
        <w:rPr>
          <w:rStyle w:val="Style_7_ch"/>
          <w:sz w:val="24"/>
        </w:rPr>
        <w:t>стов.</w:t>
      </w:r>
      <w:r>
        <w:rPr>
          <w:rStyle w:val="Style_7_ch"/>
          <w:sz w:val="24"/>
        </w:rPr>
        <w:t xml:space="preserve"> </w:t>
      </w:r>
    </w:p>
    <w:p w14:paraId="0F000000">
      <w:pPr>
        <w:pStyle w:val="Style_6"/>
        <w:widowControl w:val="1"/>
        <w:spacing w:before="58" w:line="276" w:lineRule="auto"/>
        <w:ind w:firstLine="544" w:left="0"/>
        <w:jc w:val="center"/>
        <w:rPr>
          <w:rStyle w:val="Style_4_ch"/>
          <w:sz w:val="24"/>
        </w:rPr>
      </w:pPr>
      <w:r>
        <w:rPr>
          <w:rStyle w:val="Style_4_ch"/>
          <w:sz w:val="24"/>
        </w:rPr>
        <w:t>2.</w:t>
      </w:r>
      <w:r>
        <w:rPr>
          <w:rStyle w:val="Style_4_ch"/>
          <w:sz w:val="24"/>
        </w:rPr>
        <w:t>Организаторы и р</w:t>
      </w:r>
      <w:r>
        <w:rPr>
          <w:rStyle w:val="Style_4_ch"/>
          <w:sz w:val="24"/>
        </w:rPr>
        <w:t>уководство соревнования</w:t>
      </w:r>
    </w:p>
    <w:p w14:paraId="10000000">
      <w:pPr>
        <w:spacing w:line="276" w:lineRule="auto"/>
        <w:ind w:firstLine="567" w:left="0"/>
        <w:jc w:val="both"/>
      </w:pPr>
      <w:r>
        <w:rPr>
          <w:rStyle w:val="Style_7_ch"/>
          <w:sz w:val="24"/>
        </w:rPr>
        <w:t xml:space="preserve">Общее руководство </w:t>
      </w:r>
      <w:r>
        <w:rPr>
          <w:rStyle w:val="Style_7_ch"/>
          <w:sz w:val="24"/>
        </w:rPr>
        <w:t>соревнование</w:t>
      </w:r>
      <w:r>
        <w:rPr>
          <w:rStyle w:val="Style_7_ch"/>
          <w:sz w:val="24"/>
        </w:rPr>
        <w:t xml:space="preserve">м </w:t>
      </w:r>
      <w:r>
        <w:rPr>
          <w:rStyle w:val="Style_7_ch"/>
          <w:sz w:val="24"/>
        </w:rPr>
        <w:t xml:space="preserve">осуществляют </w:t>
      </w:r>
      <w:r>
        <w:rPr>
          <w:rStyle w:val="Style_7_ch"/>
          <w:sz w:val="24"/>
        </w:rPr>
        <w:t xml:space="preserve"> ОО Карпинская городская Федерация шахмат. </w:t>
      </w:r>
      <w:r>
        <w:rPr>
          <w:rStyle w:val="Style_7_ch"/>
          <w:sz w:val="24"/>
        </w:rPr>
        <w:t xml:space="preserve">Непосредственное проведение </w:t>
      </w:r>
      <w:r>
        <w:rPr>
          <w:rStyle w:val="Style_7_ch"/>
          <w:sz w:val="24"/>
        </w:rPr>
        <w:t>соревнования</w:t>
      </w:r>
      <w:r>
        <w:rPr>
          <w:rStyle w:val="Style_7_ch"/>
          <w:sz w:val="24"/>
        </w:rPr>
        <w:t xml:space="preserve"> возлагается на </w:t>
      </w:r>
      <w:r>
        <w:rPr>
          <w:rStyle w:val="Style_7_ch"/>
          <w:sz w:val="24"/>
        </w:rPr>
        <w:t>городской шахматный клуб</w:t>
      </w:r>
      <w:r>
        <w:rPr>
          <w:rStyle w:val="Style_7_ch"/>
          <w:sz w:val="24"/>
        </w:rPr>
        <w:t xml:space="preserve"> «</w:t>
      </w:r>
      <w:r>
        <w:rPr>
          <w:rStyle w:val="Style_7_ch"/>
          <w:sz w:val="24"/>
        </w:rPr>
        <w:t>Горняк</w:t>
      </w:r>
      <w:r>
        <w:rPr>
          <w:rStyle w:val="Style_7_ch"/>
          <w:sz w:val="24"/>
        </w:rPr>
        <w:t>»</w:t>
      </w:r>
      <w:r>
        <w:rPr>
          <w:rStyle w:val="Style_7_ch"/>
          <w:sz w:val="24"/>
        </w:rPr>
        <w:t xml:space="preserve"> и судейскую коллегию.</w:t>
      </w:r>
    </w:p>
    <w:p w14:paraId="11000000">
      <w:pPr>
        <w:spacing w:line="276" w:lineRule="auto"/>
        <w:ind w:firstLine="567" w:left="0"/>
      </w:pPr>
      <w:r>
        <w:t>Главный судья соревнования –</w:t>
      </w:r>
      <w:r>
        <w:t xml:space="preserve"> </w:t>
      </w:r>
      <w:r>
        <w:t>А.Г. Лобанов</w:t>
      </w:r>
      <w:r>
        <w:t>.</w:t>
      </w:r>
    </w:p>
    <w:p w14:paraId="12000000">
      <w:pPr>
        <w:tabs>
          <w:tab w:leader="none" w:pos="567" w:val="left"/>
          <w:tab w:leader="none" w:pos="993" w:val="left"/>
          <w:tab w:leader="none" w:pos="5800" w:val="left"/>
          <w:tab w:leader="none" w:pos="7346" w:val="left"/>
        </w:tabs>
        <w:ind w:firstLine="0" w:left="720"/>
        <w:jc w:val="center"/>
        <w:rPr>
          <w:b w:val="1"/>
          <w:i w:val="1"/>
          <w:u w:val="single"/>
        </w:rPr>
      </w:pPr>
      <w:r>
        <w:rPr>
          <w:b w:val="1"/>
        </w:rPr>
        <w:t>3</w:t>
      </w:r>
      <w:r>
        <w:rPr>
          <w:b w:val="1"/>
        </w:rPr>
        <w:t>.</w:t>
      </w:r>
      <w:r>
        <w:rPr>
          <w:b w:val="1"/>
        </w:rPr>
        <w:t>Порядок проведения соревнований</w:t>
      </w:r>
    </w:p>
    <w:p w14:paraId="13000000">
      <w:pPr>
        <w:pStyle w:val="Style_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Турнир проводи</w:t>
      </w:r>
      <w:r>
        <w:rPr>
          <w:rFonts w:ascii="Times New Roman" w:hAnsi="Times New Roman"/>
          <w:sz w:val="24"/>
        </w:rPr>
        <w:t>тся по швейцарской системе в 7</w:t>
      </w:r>
      <w:r>
        <w:rPr>
          <w:rFonts w:ascii="Times New Roman" w:hAnsi="Times New Roman"/>
          <w:sz w:val="24"/>
        </w:rPr>
        <w:t xml:space="preserve">-9 туров,в зависимости от количества участников, </w:t>
      </w:r>
      <w:r>
        <w:rPr>
          <w:rFonts w:ascii="Times New Roman" w:hAnsi="Times New Roman"/>
        </w:rPr>
        <w:t xml:space="preserve"> по Правилам вида спорта «шахматы», утвержденными  приказом Мин</w:t>
      </w:r>
      <w:r>
        <w:rPr>
          <w:rFonts w:ascii="Times New Roman" w:hAnsi="Times New Roman"/>
        </w:rPr>
        <w:t>истерств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спорта Росси</w:t>
      </w:r>
      <w:r>
        <w:rPr>
          <w:rFonts w:ascii="Times New Roman" w:hAnsi="Times New Roman"/>
        </w:rPr>
        <w:t xml:space="preserve">йской Федерации </w:t>
      </w:r>
      <w:r>
        <w:rPr>
          <w:rFonts w:ascii="Times New Roman" w:hAnsi="Times New Roman"/>
        </w:rPr>
        <w:t xml:space="preserve"> от  </w:t>
      </w:r>
      <w:r>
        <w:rPr>
          <w:rFonts w:ascii="Times New Roman" w:hAnsi="Times New Roman"/>
          <w:sz w:val="24"/>
        </w:rPr>
        <w:t xml:space="preserve"> 30.12.20</w:t>
      </w:r>
      <w:r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>г. №</w:t>
      </w:r>
      <w:r>
        <w:rPr>
          <w:rFonts w:ascii="Times New Roman" w:hAnsi="Times New Roman"/>
          <w:sz w:val="24"/>
        </w:rPr>
        <w:t xml:space="preserve">988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t>с изменениями, внесенными приказами Министерства спорта Российской Федерации от 10 апреля 2023 г. № 243, от 11 мая 2023 г. № 315).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Компьютерная жеребьевка. Жеребьевочная программа : </w:t>
      </w:r>
      <w:r>
        <w:rPr>
          <w:rFonts w:ascii="Times New Roman" w:hAnsi="Times New Roman"/>
          <w:sz w:val="24"/>
        </w:rPr>
        <w:t>Swiss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Master</w:t>
      </w:r>
      <w:r>
        <w:rPr>
          <w:rFonts w:ascii="Times New Roman" w:hAnsi="Times New Roman"/>
          <w:sz w:val="24"/>
        </w:rPr>
        <w:t xml:space="preserve"> 5.5. Контроль времени 8 минут на партию каждому участник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 с добавлением 5сек. на каждый ход, начиная с первого.</w:t>
      </w:r>
    </w:p>
    <w:p w14:paraId="14000000">
      <w:pPr>
        <w:pStyle w:val="Style_9"/>
        <w:spacing w:after="0"/>
        <w:ind w:firstLine="567" w:left="0"/>
        <w:jc w:val="both"/>
        <w:rPr>
          <w:rStyle w:val="Style_4_ch"/>
          <w:sz w:val="24"/>
        </w:rPr>
      </w:pPr>
      <w:r>
        <w:rPr>
          <w:rStyle w:val="Style_4_ch"/>
          <w:sz w:val="24"/>
        </w:rPr>
        <w:t xml:space="preserve">                                             4</w:t>
      </w:r>
      <w:r>
        <w:rPr>
          <w:rStyle w:val="Style_4_ch"/>
          <w:sz w:val="24"/>
        </w:rPr>
        <w:t xml:space="preserve">.  </w:t>
      </w:r>
      <w:r>
        <w:rPr>
          <w:rStyle w:val="Style_4_ch"/>
          <w:sz w:val="24"/>
        </w:rPr>
        <w:t>Ср</w:t>
      </w:r>
      <w:r>
        <w:rPr>
          <w:rStyle w:val="Style_4_ch"/>
          <w:sz w:val="24"/>
        </w:rPr>
        <w:t>оки и место проведения</w:t>
      </w:r>
    </w:p>
    <w:p w14:paraId="15000000">
      <w:pPr>
        <w:spacing w:line="276" w:lineRule="auto"/>
        <w:ind w:firstLine="567" w:left="0"/>
        <w:jc w:val="both"/>
      </w:pPr>
      <w:r>
        <w:t xml:space="preserve">Соревнование проводится в городе </w:t>
      </w:r>
      <w:r>
        <w:t>Карпинске</w:t>
      </w:r>
      <w:r>
        <w:t xml:space="preserve"> 29</w:t>
      </w:r>
      <w:r>
        <w:t xml:space="preserve"> ноября</w:t>
      </w:r>
      <w:r>
        <w:t xml:space="preserve"> 20</w:t>
      </w:r>
      <w:r>
        <w:t>26</w:t>
      </w:r>
      <w:r>
        <w:t xml:space="preserve"> года в помещении </w:t>
      </w:r>
      <w:r>
        <w:t>городского шахматного клуба «Горняк</w:t>
      </w:r>
      <w:r>
        <w:t xml:space="preserve">" (ул. </w:t>
      </w:r>
      <w:r>
        <w:t>Ленина</w:t>
      </w:r>
      <w:r>
        <w:t>, 1</w:t>
      </w:r>
      <w:r>
        <w:t>1</w:t>
      </w:r>
      <w:r>
        <w:t>0).</w:t>
      </w:r>
      <w:r>
        <w:t>Начало турнира в 11час.00мин.</w:t>
      </w:r>
    </w:p>
    <w:p w14:paraId="16000000">
      <w:pPr>
        <w:pStyle w:val="Style_3"/>
        <w:widowControl w:val="1"/>
        <w:tabs>
          <w:tab w:leader="none" w:pos="0" w:val="left"/>
        </w:tabs>
        <w:spacing w:after="120" w:before="120"/>
        <w:ind w:firstLine="0" w:left="1080"/>
        <w:rPr>
          <w:rStyle w:val="Style_4_ch"/>
          <w:sz w:val="24"/>
        </w:rPr>
      </w:pPr>
      <w:r>
        <w:rPr>
          <w:rStyle w:val="Style_4_ch"/>
          <w:sz w:val="24"/>
        </w:rPr>
        <w:t xml:space="preserve">                                      5.     </w:t>
      </w:r>
      <w:r>
        <w:rPr>
          <w:rStyle w:val="Style_4_ch"/>
          <w:sz w:val="24"/>
        </w:rPr>
        <w:t xml:space="preserve">Участники </w:t>
      </w:r>
      <w:r>
        <w:rPr>
          <w:rStyle w:val="Style_4_ch"/>
          <w:sz w:val="24"/>
        </w:rPr>
        <w:t>соревнования</w:t>
      </w:r>
    </w:p>
    <w:p w14:paraId="17000000">
      <w:pPr>
        <w:spacing w:line="276" w:lineRule="auto"/>
        <w:ind w:firstLine="567" w:left="0"/>
        <w:jc w:val="both"/>
      </w:pPr>
      <w:r>
        <w:t xml:space="preserve">К участию в </w:t>
      </w:r>
      <w:r>
        <w:t>соревновании</w:t>
      </w:r>
      <w:r>
        <w:t xml:space="preserve"> допускаются шахматисты</w:t>
      </w:r>
      <w:r>
        <w:t xml:space="preserve"> 2018г.р. и старше</w:t>
      </w:r>
      <w:r>
        <w:t xml:space="preserve">, </w:t>
      </w:r>
      <w:r>
        <w:t xml:space="preserve">прошедшие регистрацию в комиссии по допуску к соревнованиям и </w:t>
      </w:r>
      <w:r>
        <w:t xml:space="preserve">уплатившие </w:t>
      </w:r>
      <w:r>
        <w:t>турнирный</w:t>
      </w:r>
      <w:r>
        <w:t xml:space="preserve"> взнос</w:t>
      </w:r>
      <w:r>
        <w:t xml:space="preserve"> в сумме 300 рублей.</w:t>
      </w:r>
      <w:bookmarkStart w:id="1" w:name="_GoBack"/>
      <w:bookmarkEnd w:id="1"/>
    </w:p>
    <w:p w14:paraId="18000000">
      <w:pPr>
        <w:widowControl w:val="1"/>
        <w:spacing w:after="62" w:line="1" w:lineRule="exact"/>
        <w:ind/>
      </w:pPr>
    </w:p>
    <w:p w14:paraId="19000000">
      <w:pPr>
        <w:pStyle w:val="Style_3"/>
        <w:widowControl w:val="1"/>
        <w:spacing w:after="120" w:before="120"/>
        <w:ind/>
        <w:jc w:val="center"/>
        <w:rPr>
          <w:rStyle w:val="Style_4_ch"/>
          <w:sz w:val="24"/>
        </w:rPr>
      </w:pPr>
      <w:r>
        <w:rPr>
          <w:rStyle w:val="Style_4_ch"/>
          <w:sz w:val="24"/>
        </w:rPr>
        <w:t>6.    Порядок определения победителей</w:t>
      </w:r>
    </w:p>
    <w:p w14:paraId="1A000000">
      <w:pPr>
        <w:pStyle w:val="Style_10"/>
        <w:widowControl w:val="1"/>
        <w:spacing w:line="276" w:lineRule="auto"/>
        <w:ind w:firstLine="567" w:left="0"/>
        <w:jc w:val="left"/>
        <w:rPr>
          <w:rStyle w:val="Style_7_ch"/>
          <w:sz w:val="24"/>
        </w:rPr>
      </w:pPr>
      <w:r>
        <w:rPr>
          <w:rStyle w:val="Style_7_ch"/>
          <w:sz w:val="24"/>
        </w:rPr>
        <w:t>Победители и призеры определяются по наибольшей сумме набранных</w:t>
      </w:r>
      <w:r>
        <w:rPr>
          <w:rStyle w:val="Style_7_ch"/>
          <w:sz w:val="24"/>
        </w:rPr>
        <w:t xml:space="preserve"> очков</w:t>
      </w:r>
      <w:r>
        <w:rPr>
          <w:rStyle w:val="Style_7_ch"/>
          <w:sz w:val="24"/>
        </w:rPr>
        <w:t xml:space="preserve">. </w:t>
      </w:r>
    </w:p>
    <w:p w14:paraId="1B000000">
      <w:pPr>
        <w:pStyle w:val="Style_10"/>
        <w:widowControl w:val="1"/>
        <w:spacing w:line="276" w:lineRule="auto"/>
        <w:ind w:firstLine="567" w:left="0"/>
        <w:jc w:val="left"/>
        <w:rPr>
          <w:rStyle w:val="Style_7_ch"/>
          <w:sz w:val="24"/>
        </w:rPr>
      </w:pPr>
      <w:r>
        <w:rPr>
          <w:rStyle w:val="Style_7_ch"/>
          <w:sz w:val="24"/>
        </w:rPr>
        <w:t>В случае равенства очков, более высокое место определяется по:</w:t>
      </w:r>
    </w:p>
    <w:p w14:paraId="1C000000">
      <w:pPr>
        <w:pStyle w:val="Style_11"/>
        <w:widowControl w:val="1"/>
        <w:numPr>
          <w:ilvl w:val="0"/>
          <w:numId w:val="2"/>
        </w:numPr>
        <w:tabs>
          <w:tab w:leader="none" w:pos="835" w:val="left"/>
        </w:tabs>
        <w:spacing w:line="276" w:lineRule="auto"/>
        <w:ind w:firstLine="567" w:left="0"/>
        <w:rPr>
          <w:rStyle w:val="Style_7_ch"/>
          <w:sz w:val="24"/>
        </w:rPr>
      </w:pPr>
      <w:r>
        <w:rPr>
          <w:rStyle w:val="Style_7_ch"/>
          <w:sz w:val="24"/>
        </w:rPr>
        <w:t>усеченному коэффициенту Бухгольца</w:t>
      </w:r>
      <w:r>
        <w:rPr>
          <w:rStyle w:val="Style_7_ch"/>
          <w:sz w:val="24"/>
        </w:rPr>
        <w:t xml:space="preserve"> -1(без одного худшего результата)</w:t>
      </w:r>
      <w:r>
        <w:rPr>
          <w:rStyle w:val="Style_7_ch"/>
          <w:sz w:val="24"/>
        </w:rPr>
        <w:t>;</w:t>
      </w:r>
      <w:r>
        <w:rPr>
          <w:rStyle w:val="Style_7_ch"/>
          <w:sz w:val="24"/>
        </w:rPr>
        <w:t xml:space="preserve"> </w:t>
      </w:r>
    </w:p>
    <w:p w14:paraId="1D000000">
      <w:pPr>
        <w:pStyle w:val="Style_11"/>
        <w:widowControl w:val="1"/>
        <w:numPr>
          <w:ilvl w:val="0"/>
          <w:numId w:val="2"/>
        </w:numPr>
        <w:tabs>
          <w:tab w:leader="none" w:pos="835" w:val="left"/>
        </w:tabs>
        <w:spacing w:line="276" w:lineRule="auto"/>
        <w:ind w:firstLine="567" w:left="0"/>
        <w:rPr>
          <w:rStyle w:val="Style_7_ch"/>
          <w:sz w:val="24"/>
        </w:rPr>
      </w:pPr>
      <w:r>
        <w:rPr>
          <w:rStyle w:val="Style_7_ch"/>
          <w:sz w:val="24"/>
        </w:rPr>
        <w:t xml:space="preserve">коэффициенту </w:t>
      </w:r>
      <w:r>
        <w:rPr>
          <w:rStyle w:val="Style_7_ch"/>
          <w:sz w:val="24"/>
        </w:rPr>
        <w:t>Бухгольца;</w:t>
      </w:r>
    </w:p>
    <w:p w14:paraId="1E000000">
      <w:pPr>
        <w:pStyle w:val="Style_11"/>
        <w:widowControl w:val="1"/>
        <w:numPr>
          <w:ilvl w:val="0"/>
          <w:numId w:val="2"/>
        </w:numPr>
        <w:tabs>
          <w:tab w:leader="none" w:pos="835" w:val="left"/>
        </w:tabs>
        <w:spacing w:line="276" w:lineRule="auto"/>
        <w:ind w:firstLine="567" w:left="0"/>
        <w:rPr>
          <w:rStyle w:val="Style_7_ch"/>
          <w:sz w:val="24"/>
        </w:rPr>
      </w:pPr>
      <w:r>
        <w:rPr>
          <w:rStyle w:val="Style_7_ch"/>
          <w:sz w:val="24"/>
        </w:rPr>
        <w:t>по количеству побед;</w:t>
      </w:r>
    </w:p>
    <w:p w14:paraId="1F000000">
      <w:pPr>
        <w:pStyle w:val="Style_11"/>
        <w:widowControl w:val="1"/>
        <w:numPr>
          <w:ilvl w:val="0"/>
          <w:numId w:val="2"/>
        </w:numPr>
        <w:tabs>
          <w:tab w:leader="none" w:pos="835" w:val="left"/>
        </w:tabs>
        <w:spacing w:line="276" w:lineRule="auto"/>
        <w:ind w:firstLine="567" w:left="0"/>
        <w:rPr>
          <w:rStyle w:val="Style_7_ch"/>
          <w:sz w:val="24"/>
        </w:rPr>
      </w:pPr>
      <w:r>
        <w:rPr>
          <w:rStyle w:val="Style_7_ch"/>
          <w:sz w:val="24"/>
        </w:rPr>
        <w:t>результату личной встречи</w:t>
      </w:r>
      <w:r>
        <w:rPr>
          <w:rStyle w:val="Style_7_ch"/>
          <w:sz w:val="24"/>
        </w:rPr>
        <w:t>;</w:t>
      </w:r>
      <w:r>
        <w:t xml:space="preserve">   </w:t>
      </w:r>
    </w:p>
    <w:p w14:paraId="20000000">
      <w:pPr>
        <w:pStyle w:val="Style_11"/>
        <w:widowControl w:val="1"/>
        <w:tabs>
          <w:tab w:leader="none" w:pos="835" w:val="left"/>
        </w:tabs>
        <w:spacing w:line="276" w:lineRule="auto"/>
        <w:ind w:firstLine="567" w:left="0"/>
        <w:rPr>
          <w:rStyle w:val="Style_7_ch"/>
          <w:sz w:val="24"/>
        </w:rPr>
      </w:pPr>
      <w:r>
        <w:t>* по числу партий, сыгранных черными фигурами (несыгранные партии считаются как игранные «белыми» фигурами)</w:t>
      </w:r>
      <w:r>
        <w:t>.</w:t>
      </w:r>
    </w:p>
    <w:p w14:paraId="21000000">
      <w:pPr>
        <w:pStyle w:val="Style_9"/>
        <w:spacing w:after="120" w:before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7.    Награждение</w:t>
      </w:r>
    </w:p>
    <w:p w14:paraId="22000000">
      <w:pPr>
        <w:pStyle w:val="Style_9"/>
        <w:spacing w:after="0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</w:t>
      </w:r>
      <w:r>
        <w:rPr>
          <w:rFonts w:ascii="Times New Roman" w:hAnsi="Times New Roman"/>
          <w:sz w:val="24"/>
        </w:rPr>
        <w:t>ь и призеры</w:t>
      </w:r>
      <w:r>
        <w:rPr>
          <w:rFonts w:ascii="Times New Roman" w:hAnsi="Times New Roman"/>
          <w:sz w:val="24"/>
        </w:rPr>
        <w:t xml:space="preserve"> турнир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награжда</w:t>
      </w:r>
      <w:r>
        <w:rPr>
          <w:rFonts w:ascii="Times New Roman" w:hAnsi="Times New Roman"/>
          <w:sz w:val="24"/>
        </w:rPr>
        <w:t>ю</w:t>
      </w:r>
      <w:r>
        <w:rPr>
          <w:rFonts w:ascii="Times New Roman" w:hAnsi="Times New Roman"/>
          <w:sz w:val="24"/>
        </w:rPr>
        <w:t>тся  медалями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грамотами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>денежными призами</w:t>
      </w:r>
      <w:r>
        <w:rPr>
          <w:rFonts w:ascii="Times New Roman" w:hAnsi="Times New Roman"/>
          <w:sz w:val="24"/>
        </w:rPr>
        <w:t xml:space="preserve">. Количество призовых мест </w:t>
      </w:r>
      <w:r>
        <w:rPr>
          <w:rFonts w:ascii="Times New Roman" w:hAnsi="Times New Roman"/>
          <w:sz w:val="24"/>
        </w:rPr>
        <w:t xml:space="preserve">в номинациях </w:t>
      </w:r>
      <w:r>
        <w:rPr>
          <w:rFonts w:ascii="Times New Roman" w:hAnsi="Times New Roman"/>
          <w:sz w:val="24"/>
        </w:rPr>
        <w:t xml:space="preserve">определяется оргкомитетом соревнования в зависимости </w:t>
      </w:r>
      <w:r>
        <w:rPr>
          <w:rFonts w:ascii="Times New Roman" w:hAnsi="Times New Roman"/>
          <w:sz w:val="24"/>
        </w:rPr>
        <w:t xml:space="preserve">от количества участников в каждой возрастной номинации. </w:t>
      </w:r>
    </w:p>
    <w:p w14:paraId="23000000">
      <w:pPr>
        <w:widowControl w:val="1"/>
        <w:ind w:firstLine="0" w:left="567"/>
        <w:rPr>
          <w:b w:val="1"/>
        </w:rPr>
      </w:pPr>
      <w:r>
        <w:rPr>
          <w:b w:val="1"/>
        </w:rPr>
        <w:t xml:space="preserve">                                       </w:t>
      </w:r>
      <w:r>
        <w:rPr>
          <w:b w:val="1"/>
        </w:rPr>
        <w:t xml:space="preserve">     </w:t>
      </w:r>
      <w:r>
        <w:rPr>
          <w:b w:val="1"/>
        </w:rPr>
        <w:t xml:space="preserve">   8</w:t>
      </w:r>
      <w:r>
        <w:rPr>
          <w:b w:val="1"/>
        </w:rPr>
        <w:t>. Заявки на участние</w:t>
      </w:r>
    </w:p>
    <w:p w14:paraId="24000000">
      <w:pPr>
        <w:pStyle w:val="Style_12"/>
        <w:spacing w:after="0" w:line="240" w:lineRule="auto"/>
        <w:ind w:firstLine="0" w:left="0"/>
        <w:rPr>
          <w:rFonts w:ascii="Times New Roman" w:hAnsi="Times New Roman"/>
          <w:b w:val="1"/>
          <w:sz w:val="24"/>
        </w:rPr>
      </w:pPr>
    </w:p>
    <w:p w14:paraId="25000000">
      <w:pPr>
        <w:ind w:firstLine="680" w:left="0"/>
        <w:jc w:val="both"/>
      </w:pPr>
      <w:r>
        <w:t xml:space="preserve">Предварительные заявки на участие направляются по электронной почте на адрес </w:t>
      </w:r>
      <w:r>
        <w:t>visavchuk</w:t>
      </w:r>
      <w:r>
        <w:t>@</w:t>
      </w:r>
      <w:r>
        <w:t>mail</w:t>
      </w:r>
      <w:r>
        <w:t>.ru до 26 ноября 2026 года (22.00 мск). Форма заявки в Приложении 1.</w:t>
      </w:r>
    </w:p>
    <w:p w14:paraId="26000000">
      <w:pPr>
        <w:ind w:firstLine="680" w:left="0"/>
        <w:jc w:val="both"/>
      </w:pPr>
      <w:r>
        <w:t>При отсутствии предварительной заявки  участие в соревновании не гарантируется.</w:t>
      </w:r>
    </w:p>
    <w:p w14:paraId="27000000">
      <w:pPr>
        <w:pStyle w:val="Style_9"/>
        <w:spacing w:after="0"/>
        <w:ind w:firstLine="567" w:left="0"/>
        <w:jc w:val="both"/>
        <w:rPr>
          <w:rFonts w:ascii="Times New Roman" w:hAnsi="Times New Roman"/>
          <w:sz w:val="24"/>
        </w:rPr>
      </w:pPr>
    </w:p>
    <w:p w14:paraId="28000000">
      <w:pPr>
        <w:pStyle w:val="Style_13"/>
        <w:spacing w:after="120" w:before="120" w:line="276" w:lineRule="auto"/>
        <w:ind/>
        <w:jc w:val="center"/>
      </w:pPr>
      <w:r>
        <w:rPr>
          <w:b w:val="1"/>
        </w:rPr>
        <w:t>9</w:t>
      </w:r>
      <w:r>
        <w:rPr>
          <w:b w:val="1"/>
        </w:rPr>
        <w:t>. Справочная информация</w:t>
      </w:r>
    </w:p>
    <w:p w14:paraId="29000000">
      <w:pPr>
        <w:pStyle w:val="Style_13"/>
        <w:spacing w:line="276" w:lineRule="auto"/>
        <w:ind/>
        <w:jc w:val="both"/>
        <w:rPr>
          <w:color w:val="000000"/>
        </w:rPr>
      </w:pPr>
      <w:r>
        <w:t>Савчук Владимир Игнатьевич : +7</w:t>
      </w:r>
      <w:r>
        <w:t>(</w:t>
      </w:r>
      <w:r>
        <w:t>9</w:t>
      </w:r>
      <w:r>
        <w:t>5</w:t>
      </w:r>
      <w:r>
        <w:t>2)</w:t>
      </w:r>
      <w:r>
        <w:t xml:space="preserve"> 135 15 30</w:t>
      </w:r>
    </w:p>
    <w:p w14:paraId="2A000000">
      <w:pPr>
        <w:pStyle w:val="Style_13"/>
        <w:spacing w:line="276" w:lineRule="auto"/>
        <w:ind/>
      </w:pPr>
      <w:r>
        <w:t xml:space="preserve">Лобанов Андрей Геннадьевич </w:t>
      </w:r>
      <w:r>
        <w:t xml:space="preserve">: </w:t>
      </w:r>
      <w:r>
        <w:t>+7</w:t>
      </w:r>
      <w:r>
        <w:t>(9</w:t>
      </w:r>
      <w:r>
        <w:t>08</w:t>
      </w:r>
      <w:r>
        <w:t>)</w:t>
      </w:r>
      <w:r>
        <w:t xml:space="preserve"> 639 28 78</w:t>
      </w:r>
      <w:r>
        <w:t>.</w:t>
      </w:r>
    </w:p>
    <w:p w14:paraId="2B000000">
      <w:pPr>
        <w:ind/>
        <w:jc w:val="center"/>
        <w:rPr>
          <w:b w:val="1"/>
        </w:rPr>
      </w:pPr>
    </w:p>
    <w:p w14:paraId="2C000000">
      <w:pPr>
        <w:ind/>
        <w:jc w:val="center"/>
        <w:rPr>
          <w:b w:val="1"/>
        </w:rPr>
      </w:pPr>
      <w:r>
        <w:rPr>
          <w:b w:val="1"/>
          <w:i w:val="1"/>
        </w:rPr>
        <w:t>Данное положение является официальным вызовом на соревновани</w:t>
      </w:r>
      <w:r>
        <w:rPr>
          <w:b w:val="1"/>
          <w:i w:val="1"/>
        </w:rPr>
        <w:t>е</w:t>
      </w:r>
    </w:p>
    <w:p w14:paraId="2D000000">
      <w:pPr>
        <w:pStyle w:val="Style_11"/>
        <w:widowControl w:val="1"/>
        <w:tabs>
          <w:tab w:leader="none" w:pos="835" w:val="left"/>
        </w:tabs>
        <w:spacing w:line="276" w:lineRule="auto"/>
        <w:ind w:firstLine="0" w:left="715"/>
        <w:jc w:val="right"/>
        <w:rPr>
          <w:rStyle w:val="Style_7_ch"/>
        </w:rPr>
      </w:pPr>
      <w:r>
        <w:rPr>
          <w:rStyle w:val="Style_7_ch"/>
        </w:rPr>
        <w:t>Приложение 1</w:t>
      </w:r>
    </w:p>
    <w:p w14:paraId="2E000000">
      <w:pPr>
        <w:pStyle w:val="Style_11"/>
        <w:widowControl w:val="1"/>
        <w:tabs>
          <w:tab w:leader="none" w:pos="835" w:val="left"/>
        </w:tabs>
        <w:spacing w:line="276" w:lineRule="auto"/>
        <w:ind w:firstLine="0" w:left="715"/>
        <w:jc w:val="right"/>
        <w:rPr>
          <w:rStyle w:val="Style_7_ch"/>
        </w:rPr>
      </w:pPr>
    </w:p>
    <w:p w14:paraId="2F000000">
      <w:pPr>
        <w:pStyle w:val="Style_11"/>
        <w:widowControl w:val="1"/>
        <w:tabs>
          <w:tab w:leader="none" w:pos="835" w:val="left"/>
        </w:tabs>
        <w:spacing w:line="276" w:lineRule="auto"/>
        <w:ind w:firstLine="0" w:left="715"/>
        <w:jc w:val="center"/>
        <w:rPr>
          <w:rStyle w:val="Style_7_ch"/>
          <w:b w:val="1"/>
        </w:rPr>
      </w:pPr>
      <w:r>
        <w:rPr>
          <w:rStyle w:val="Style_7_ch"/>
          <w:b w:val="1"/>
        </w:rPr>
        <w:t>Заявка</w:t>
      </w:r>
    </w:p>
    <w:p w14:paraId="30000000">
      <w:pPr>
        <w:pStyle w:val="Style_11"/>
        <w:widowControl w:val="1"/>
        <w:tabs>
          <w:tab w:leader="none" w:pos="835" w:val="left"/>
        </w:tabs>
        <w:spacing w:line="276" w:lineRule="auto"/>
        <w:ind w:firstLine="0" w:left="715"/>
        <w:jc w:val="center"/>
        <w:rPr>
          <w:rStyle w:val="Style_7_ch"/>
        </w:rPr>
      </w:pPr>
    </w:p>
    <w:tbl>
      <w:tblPr>
        <w:tblStyle w:val="Style_1"/>
        <w:tblInd w:type="dxa" w:w="71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28"/>
        <w:gridCol w:w="1641"/>
        <w:gridCol w:w="1985"/>
        <w:gridCol w:w="1671"/>
      </w:tblGrid>
      <w:tr>
        <w:tc>
          <w:tcPr>
            <w:tcW w:type="dxa" w:w="2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pStyle w:val="Style_11"/>
              <w:widowControl w:val="1"/>
              <w:tabs>
                <w:tab w:leader="none" w:pos="835" w:val="left"/>
              </w:tabs>
              <w:spacing w:line="276" w:lineRule="auto"/>
              <w:ind/>
              <w:jc w:val="center"/>
              <w:rPr>
                <w:rStyle w:val="Style_7_ch"/>
              </w:rPr>
            </w:pPr>
            <w:r>
              <w:rPr>
                <w:rStyle w:val="Style_7_ch"/>
              </w:rPr>
              <w:t>ФИО</w:t>
            </w:r>
          </w:p>
        </w:tc>
        <w:tc>
          <w:tcPr>
            <w:tcW w:type="dxa" w:w="1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pStyle w:val="Style_11"/>
              <w:widowControl w:val="1"/>
              <w:tabs>
                <w:tab w:leader="none" w:pos="835" w:val="left"/>
              </w:tabs>
              <w:spacing w:line="276" w:lineRule="auto"/>
              <w:ind/>
              <w:jc w:val="center"/>
              <w:rPr>
                <w:rStyle w:val="Style_7_ch"/>
              </w:rPr>
            </w:pPr>
            <w:r>
              <w:rPr>
                <w:rStyle w:val="Style_7_ch"/>
              </w:rPr>
              <w:t>Дата рождения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pStyle w:val="Style_11"/>
              <w:widowControl w:val="1"/>
              <w:tabs>
                <w:tab w:leader="none" w:pos="835" w:val="left"/>
              </w:tabs>
              <w:spacing w:line="276" w:lineRule="auto"/>
              <w:ind/>
              <w:jc w:val="center"/>
              <w:rPr>
                <w:rStyle w:val="Style_7_ch"/>
              </w:rPr>
            </w:pPr>
            <w:r>
              <w:rPr>
                <w:rStyle w:val="Style_7_ch"/>
              </w:rPr>
              <w:t>Город</w:t>
            </w:r>
          </w:p>
        </w:tc>
        <w:tc>
          <w:tcPr>
            <w:tcW w:type="dxa" w:w="1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pStyle w:val="Style_11"/>
              <w:widowControl w:val="1"/>
              <w:spacing w:line="276" w:lineRule="auto"/>
              <w:ind/>
              <w:jc w:val="center"/>
              <w:rPr>
                <w:rStyle w:val="Style_7_ch"/>
              </w:rPr>
            </w:pPr>
            <w:r>
              <w:rPr>
                <w:rStyle w:val="Style_7_ch"/>
              </w:rPr>
              <w:t>ID</w:t>
            </w:r>
            <w:r>
              <w:rPr>
                <w:rStyle w:val="Style_7_ch"/>
              </w:rPr>
              <w:t xml:space="preserve"> российское</w:t>
            </w:r>
          </w:p>
        </w:tc>
      </w:tr>
      <w:tr>
        <w:tc>
          <w:tcPr>
            <w:tcW w:type="dxa" w:w="2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pStyle w:val="Style_11"/>
              <w:widowControl w:val="1"/>
              <w:tabs>
                <w:tab w:leader="none" w:pos="835" w:val="left"/>
              </w:tabs>
              <w:spacing w:line="276" w:lineRule="auto"/>
              <w:ind/>
              <w:jc w:val="center"/>
              <w:rPr>
                <w:rStyle w:val="Style_7_ch"/>
              </w:rPr>
            </w:pPr>
          </w:p>
        </w:tc>
        <w:tc>
          <w:tcPr>
            <w:tcW w:type="dxa" w:w="1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pStyle w:val="Style_11"/>
              <w:widowControl w:val="1"/>
              <w:tabs>
                <w:tab w:leader="none" w:pos="835" w:val="left"/>
              </w:tabs>
              <w:spacing w:line="276" w:lineRule="auto"/>
              <w:ind/>
              <w:jc w:val="center"/>
              <w:rPr>
                <w:rStyle w:val="Style_7_ch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pStyle w:val="Style_11"/>
              <w:widowControl w:val="1"/>
              <w:tabs>
                <w:tab w:leader="none" w:pos="835" w:val="left"/>
              </w:tabs>
              <w:spacing w:line="276" w:lineRule="auto"/>
              <w:ind/>
              <w:jc w:val="center"/>
              <w:rPr>
                <w:rStyle w:val="Style_7_ch"/>
              </w:rPr>
            </w:pPr>
          </w:p>
        </w:tc>
        <w:tc>
          <w:tcPr>
            <w:tcW w:type="dxa" w:w="1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pStyle w:val="Style_11"/>
              <w:widowControl w:val="1"/>
              <w:tabs>
                <w:tab w:leader="none" w:pos="835" w:val="left"/>
              </w:tabs>
              <w:spacing w:line="276" w:lineRule="auto"/>
              <w:ind/>
              <w:jc w:val="center"/>
              <w:rPr>
                <w:rStyle w:val="Style_7_ch"/>
              </w:rPr>
            </w:pPr>
          </w:p>
        </w:tc>
      </w:tr>
    </w:tbl>
    <w:p w14:paraId="39000000">
      <w:pPr>
        <w:pStyle w:val="Style_11"/>
        <w:widowControl w:val="1"/>
        <w:tabs>
          <w:tab w:leader="none" w:pos="835" w:val="left"/>
        </w:tabs>
        <w:spacing w:line="276" w:lineRule="auto"/>
        <w:ind w:firstLine="0" w:left="715"/>
        <w:rPr>
          <w:rStyle w:val="Style_7_ch"/>
          <w:sz w:val="24"/>
        </w:rPr>
      </w:pPr>
    </w:p>
    <w:sectPr>
      <w:type w:val="continuous"/>
      <w:pgSz w:h="16837" w:orient="portrait" w:w="11905"/>
      <w:pgMar w:bottom="426" w:footer="720" w:gutter="0" w:header="720" w:left="1083" w:right="565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numFmt w:val="bullet"/>
      <w:lvlText w:val="*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  <w:pPr>
      <w:widowControl w:val="0"/>
      <w:ind/>
    </w:pPr>
    <w:rPr>
      <w:rFonts w:ascii="Times New Roman" w:hAnsi="Times New Roman"/>
      <w:sz w:val="24"/>
    </w:rPr>
  </w:style>
  <w:style w:default="1" w:styleId="Style_14_ch" w:type="character">
    <w:name w:val="Normal"/>
    <w:link w:val="Style_14"/>
    <w:rPr>
      <w:rFonts w:ascii="Times New Roman" w:hAnsi="Times New Roman"/>
      <w:sz w:val="24"/>
    </w:rPr>
  </w:style>
  <w:style w:styleId="Style_15" w:type="paragraph">
    <w:name w:val="Font Style15"/>
    <w:basedOn w:val="Style_16"/>
    <w:link w:val="Style_15_ch"/>
    <w:rPr>
      <w:rFonts w:ascii="Times New Roman" w:hAnsi="Times New Roman"/>
      <w:b w:val="1"/>
      <w:sz w:val="18"/>
    </w:rPr>
  </w:style>
  <w:style w:styleId="Style_15_ch" w:type="character">
    <w:name w:val="Font Style15"/>
    <w:basedOn w:val="Style_16_ch"/>
    <w:link w:val="Style_15"/>
    <w:rPr>
      <w:rFonts w:ascii="Times New Roman" w:hAnsi="Times New Roman"/>
      <w:b w:val="1"/>
      <w:sz w:val="18"/>
    </w:rPr>
  </w:style>
  <w:style w:styleId="Style_17" w:type="paragraph">
    <w:name w:val="Style3"/>
    <w:basedOn w:val="Style_14"/>
    <w:link w:val="Style_17_ch"/>
    <w:pPr>
      <w:spacing w:line="254" w:lineRule="exact"/>
      <w:ind/>
    </w:pPr>
  </w:style>
  <w:style w:styleId="Style_17_ch" w:type="character">
    <w:name w:val="Style3"/>
    <w:basedOn w:val="Style_14_ch"/>
    <w:link w:val="Style_17"/>
  </w:style>
  <w:style w:styleId="Style_18" w:type="paragraph">
    <w:name w:val="toc 2"/>
    <w:next w:val="Style_14"/>
    <w:link w:val="Style_1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8_ch" w:type="character">
    <w:name w:val="toc 2"/>
    <w:link w:val="Style_18"/>
    <w:rPr>
      <w:rFonts w:ascii="XO Thames" w:hAnsi="XO Thames"/>
      <w:sz w:val="28"/>
    </w:rPr>
  </w:style>
  <w:style w:styleId="Style_4" w:type="paragraph">
    <w:name w:val="Font Style17"/>
    <w:basedOn w:val="Style_16"/>
    <w:link w:val="Style_4_ch"/>
    <w:rPr>
      <w:rFonts w:ascii="Times New Roman" w:hAnsi="Times New Roman"/>
      <w:b w:val="1"/>
      <w:sz w:val="20"/>
    </w:rPr>
  </w:style>
  <w:style w:styleId="Style_4_ch" w:type="character">
    <w:name w:val="Font Style17"/>
    <w:basedOn w:val="Style_16_ch"/>
    <w:link w:val="Style_4"/>
    <w:rPr>
      <w:rFonts w:ascii="Times New Roman" w:hAnsi="Times New Roman"/>
      <w:b w:val="1"/>
      <w:sz w:val="20"/>
    </w:rPr>
  </w:style>
  <w:style w:styleId="Style_19" w:type="paragraph">
    <w:name w:val="Style4"/>
    <w:basedOn w:val="Style_14"/>
    <w:link w:val="Style_19_ch"/>
    <w:pPr>
      <w:spacing w:line="254" w:lineRule="exact"/>
      <w:ind/>
      <w:jc w:val="center"/>
    </w:pPr>
  </w:style>
  <w:style w:styleId="Style_19_ch" w:type="character">
    <w:name w:val="Style4"/>
    <w:basedOn w:val="Style_14_ch"/>
    <w:link w:val="Style_19"/>
  </w:style>
  <w:style w:styleId="Style_20" w:type="paragraph">
    <w:name w:val="toc 4"/>
    <w:next w:val="Style_14"/>
    <w:link w:val="Style_2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0_ch" w:type="character">
    <w:name w:val="toc 4"/>
    <w:link w:val="Style_20"/>
    <w:rPr>
      <w:rFonts w:ascii="XO Thames" w:hAnsi="XO Thames"/>
      <w:sz w:val="28"/>
    </w:rPr>
  </w:style>
  <w:style w:styleId="Style_21" w:type="paragraph">
    <w:name w:val="Style12"/>
    <w:basedOn w:val="Style_14"/>
    <w:link w:val="Style_21_ch"/>
    <w:pPr>
      <w:spacing w:line="226" w:lineRule="exact"/>
      <w:ind/>
      <w:jc w:val="center"/>
    </w:pPr>
  </w:style>
  <w:style w:styleId="Style_21_ch" w:type="character">
    <w:name w:val="Style12"/>
    <w:basedOn w:val="Style_14_ch"/>
    <w:link w:val="Style_21"/>
  </w:style>
  <w:style w:styleId="Style_22" w:type="paragraph">
    <w:name w:val="toc 6"/>
    <w:next w:val="Style_14"/>
    <w:link w:val="Style_2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2_ch" w:type="character">
    <w:name w:val="toc 6"/>
    <w:link w:val="Style_22"/>
    <w:rPr>
      <w:rFonts w:ascii="XO Thames" w:hAnsi="XO Thames"/>
      <w:sz w:val="28"/>
    </w:rPr>
  </w:style>
  <w:style w:styleId="Style_7" w:type="paragraph">
    <w:name w:val="Font Style18"/>
    <w:basedOn w:val="Style_16"/>
    <w:link w:val="Style_7_ch"/>
    <w:rPr>
      <w:rFonts w:ascii="Times New Roman" w:hAnsi="Times New Roman"/>
      <w:sz w:val="20"/>
    </w:rPr>
  </w:style>
  <w:style w:styleId="Style_7_ch" w:type="character">
    <w:name w:val="Font Style18"/>
    <w:basedOn w:val="Style_16_ch"/>
    <w:link w:val="Style_7"/>
    <w:rPr>
      <w:rFonts w:ascii="Times New Roman" w:hAnsi="Times New Roman"/>
      <w:sz w:val="20"/>
    </w:rPr>
  </w:style>
  <w:style w:styleId="Style_23" w:type="paragraph">
    <w:name w:val="toc 7"/>
    <w:next w:val="Style_14"/>
    <w:link w:val="Style_2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3_ch" w:type="character">
    <w:name w:val="toc 7"/>
    <w:link w:val="Style_23"/>
    <w:rPr>
      <w:rFonts w:ascii="XO Thames" w:hAnsi="XO Thames"/>
      <w:sz w:val="28"/>
    </w:rPr>
  </w:style>
  <w:style w:styleId="Style_24" w:type="paragraph">
    <w:name w:val="Style11"/>
    <w:basedOn w:val="Style_14"/>
    <w:link w:val="Style_24_ch"/>
    <w:pPr>
      <w:spacing w:line="230" w:lineRule="exact"/>
      <w:ind/>
      <w:jc w:val="center"/>
    </w:pPr>
  </w:style>
  <w:style w:styleId="Style_24_ch" w:type="character">
    <w:name w:val="Style11"/>
    <w:basedOn w:val="Style_14_ch"/>
    <w:link w:val="Style_24"/>
  </w:style>
  <w:style w:styleId="Style_25" w:type="paragraph">
    <w:name w:val="Font Style16"/>
    <w:basedOn w:val="Style_16"/>
    <w:link w:val="Style_25_ch"/>
    <w:rPr>
      <w:rFonts w:ascii="Times New Roman" w:hAnsi="Times New Roman"/>
      <w:sz w:val="18"/>
    </w:rPr>
  </w:style>
  <w:style w:styleId="Style_25_ch" w:type="character">
    <w:name w:val="Font Style16"/>
    <w:basedOn w:val="Style_16_ch"/>
    <w:link w:val="Style_25"/>
    <w:rPr>
      <w:rFonts w:ascii="Times New Roman" w:hAnsi="Times New Roman"/>
      <w:sz w:val="18"/>
    </w:rPr>
  </w:style>
  <w:style w:styleId="Style_26" w:type="paragraph">
    <w:name w:val="heading 3"/>
    <w:next w:val="Style_14"/>
    <w:link w:val="Style_2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6_ch" w:type="character">
    <w:name w:val="heading 3"/>
    <w:link w:val="Style_26"/>
    <w:rPr>
      <w:rFonts w:ascii="XO Thames" w:hAnsi="XO Thames"/>
      <w:b w:val="1"/>
      <w:sz w:val="26"/>
    </w:rPr>
  </w:style>
  <w:style w:styleId="Style_6" w:type="paragraph">
    <w:name w:val="Style10"/>
    <w:basedOn w:val="Style_14"/>
    <w:link w:val="Style_6_ch"/>
    <w:pPr>
      <w:spacing w:line="253" w:lineRule="exact"/>
      <w:ind w:firstLine="542" w:left="0"/>
      <w:jc w:val="both"/>
    </w:pPr>
  </w:style>
  <w:style w:styleId="Style_6_ch" w:type="character">
    <w:name w:val="Style10"/>
    <w:basedOn w:val="Style_14_ch"/>
    <w:link w:val="Style_6"/>
  </w:style>
  <w:style w:styleId="Style_27" w:type="paragraph">
    <w:name w:val="Style5"/>
    <w:basedOn w:val="Style_14"/>
    <w:link w:val="Style_27_ch"/>
  </w:style>
  <w:style w:styleId="Style_27_ch" w:type="character">
    <w:name w:val="Style5"/>
    <w:basedOn w:val="Style_14_ch"/>
    <w:link w:val="Style_27"/>
  </w:style>
  <w:style w:styleId="Style_9" w:type="paragraph">
    <w:name w:val="List Paragraph"/>
    <w:basedOn w:val="Style_14"/>
    <w:link w:val="Style_9_ch"/>
    <w:pPr>
      <w:widowControl w:val="1"/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9_ch" w:type="character">
    <w:name w:val="List Paragraph"/>
    <w:basedOn w:val="Style_14_ch"/>
    <w:link w:val="Style_9"/>
    <w:rPr>
      <w:rFonts w:ascii="Calibri" w:hAnsi="Calibri"/>
      <w:sz w:val="22"/>
    </w:rPr>
  </w:style>
  <w:style w:styleId="Style_28" w:type="paragraph">
    <w:name w:val="toc 3"/>
    <w:next w:val="Style_14"/>
    <w:link w:val="Style_2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8_ch" w:type="character">
    <w:name w:val="toc 3"/>
    <w:link w:val="Style_28"/>
    <w:rPr>
      <w:rFonts w:ascii="XO Thames" w:hAnsi="XO Thames"/>
      <w:sz w:val="28"/>
    </w:rPr>
  </w:style>
  <w:style w:styleId="Style_5" w:type="paragraph">
    <w:name w:val="Заголовок №1"/>
    <w:basedOn w:val="Style_14"/>
    <w:link w:val="Style_5_ch"/>
    <w:pPr>
      <w:widowControl w:val="1"/>
      <w:spacing w:after="240" w:line="274" w:lineRule="exact"/>
      <w:ind/>
      <w:jc w:val="right"/>
      <w:outlineLvl w:val="0"/>
    </w:pPr>
    <w:rPr>
      <w:sz w:val="23"/>
    </w:rPr>
  </w:style>
  <w:style w:styleId="Style_5_ch" w:type="character">
    <w:name w:val="Заголовок №1"/>
    <w:basedOn w:val="Style_14_ch"/>
    <w:link w:val="Style_5"/>
    <w:rPr>
      <w:sz w:val="23"/>
    </w:rPr>
  </w:style>
  <w:style w:styleId="Style_29" w:type="paragraph">
    <w:name w:val="Style8"/>
    <w:basedOn w:val="Style_14"/>
    <w:link w:val="Style_29_ch"/>
    <w:pPr>
      <w:spacing w:line="254" w:lineRule="exact"/>
      <w:ind w:firstLine="725" w:left="0"/>
      <w:jc w:val="both"/>
    </w:pPr>
  </w:style>
  <w:style w:styleId="Style_29_ch" w:type="character">
    <w:name w:val="Style8"/>
    <w:basedOn w:val="Style_14_ch"/>
    <w:link w:val="Style_29"/>
  </w:style>
  <w:style w:styleId="Style_30" w:type="paragraph">
    <w:name w:val="Font Style14"/>
    <w:basedOn w:val="Style_16"/>
    <w:link w:val="Style_30_ch"/>
    <w:rPr>
      <w:rFonts w:ascii="Times New Roman" w:hAnsi="Times New Roman"/>
      <w:b w:val="1"/>
      <w:spacing w:val="20"/>
      <w:sz w:val="22"/>
    </w:rPr>
  </w:style>
  <w:style w:styleId="Style_30_ch" w:type="character">
    <w:name w:val="Font Style14"/>
    <w:basedOn w:val="Style_16_ch"/>
    <w:link w:val="Style_30"/>
    <w:rPr>
      <w:rFonts w:ascii="Times New Roman" w:hAnsi="Times New Roman"/>
      <w:b w:val="1"/>
      <w:spacing w:val="20"/>
      <w:sz w:val="22"/>
    </w:rPr>
  </w:style>
  <w:style w:styleId="Style_31" w:type="paragraph">
    <w:name w:val="heading 5"/>
    <w:next w:val="Style_14"/>
    <w:link w:val="Style_3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1_ch" w:type="character">
    <w:name w:val="heading 5"/>
    <w:link w:val="Style_31"/>
    <w:rPr>
      <w:rFonts w:ascii="XO Thames" w:hAnsi="XO Thames"/>
      <w:b w:val="1"/>
      <w:sz w:val="22"/>
    </w:rPr>
  </w:style>
  <w:style w:styleId="Style_32" w:type="paragraph">
    <w:name w:val="heading 1"/>
    <w:next w:val="Style_14"/>
    <w:link w:val="Style_3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2_ch" w:type="character">
    <w:name w:val="heading 1"/>
    <w:link w:val="Style_32"/>
    <w:rPr>
      <w:rFonts w:ascii="XO Thames" w:hAnsi="XO Thames"/>
      <w:b w:val="1"/>
      <w:sz w:val="32"/>
    </w:rPr>
  </w:style>
  <w:style w:styleId="Style_3" w:type="paragraph">
    <w:name w:val="Style6"/>
    <w:basedOn w:val="Style_14"/>
    <w:link w:val="Style_3_ch"/>
  </w:style>
  <w:style w:styleId="Style_3_ch" w:type="character">
    <w:name w:val="Style6"/>
    <w:basedOn w:val="Style_14_ch"/>
    <w:link w:val="Style_3"/>
  </w:style>
  <w:style w:styleId="Style_2" w:type="paragraph">
    <w:name w:val="Body Text"/>
    <w:basedOn w:val="Style_14"/>
    <w:link w:val="Style_2_ch"/>
    <w:pPr>
      <w:widowControl w:val="1"/>
      <w:ind/>
      <w:jc w:val="both"/>
    </w:pPr>
  </w:style>
  <w:style w:styleId="Style_2_ch" w:type="character">
    <w:name w:val="Body Text"/>
    <w:basedOn w:val="Style_14_ch"/>
    <w:link w:val="Style_2"/>
  </w:style>
  <w:style w:styleId="Style_33" w:type="paragraph">
    <w:name w:val="Style9"/>
    <w:basedOn w:val="Style_14"/>
    <w:link w:val="Style_33_ch"/>
  </w:style>
  <w:style w:styleId="Style_33_ch" w:type="character">
    <w:name w:val="Style9"/>
    <w:basedOn w:val="Style_14_ch"/>
    <w:link w:val="Style_33"/>
  </w:style>
  <w:style w:styleId="Style_34" w:type="paragraph">
    <w:name w:val="Hyperlink"/>
    <w:basedOn w:val="Style_16"/>
    <w:link w:val="Style_34_ch"/>
    <w:rPr>
      <w:color w:val="0000FF"/>
      <w:u w:val="single"/>
    </w:rPr>
  </w:style>
  <w:style w:styleId="Style_34_ch" w:type="character">
    <w:name w:val="Hyperlink"/>
    <w:basedOn w:val="Style_16_ch"/>
    <w:link w:val="Style_34"/>
    <w:rPr>
      <w:color w:val="0000FF"/>
      <w:u w:val="single"/>
    </w:rPr>
  </w:style>
  <w:style w:styleId="Style_35" w:type="paragraph">
    <w:name w:val="Footnote"/>
    <w:link w:val="Style_35_ch"/>
    <w:pPr>
      <w:ind w:firstLine="851" w:left="0"/>
      <w:jc w:val="both"/>
    </w:pPr>
    <w:rPr>
      <w:rFonts w:ascii="XO Thames" w:hAnsi="XO Thames"/>
      <w:sz w:val="22"/>
    </w:rPr>
  </w:style>
  <w:style w:styleId="Style_35_ch" w:type="character">
    <w:name w:val="Footnote"/>
    <w:link w:val="Style_35"/>
    <w:rPr>
      <w:rFonts w:ascii="XO Thames" w:hAnsi="XO Thames"/>
      <w:sz w:val="22"/>
    </w:rPr>
  </w:style>
  <w:style w:styleId="Style_36" w:type="paragraph">
    <w:name w:val="toc 1"/>
    <w:next w:val="Style_14"/>
    <w:link w:val="Style_3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6_ch" w:type="character">
    <w:name w:val="toc 1"/>
    <w:link w:val="Style_36"/>
    <w:rPr>
      <w:rFonts w:ascii="XO Thames" w:hAnsi="XO Thames"/>
      <w:b w:val="1"/>
      <w:sz w:val="28"/>
    </w:rPr>
  </w:style>
  <w:style w:styleId="Style_37" w:type="paragraph">
    <w:name w:val="Header and Footer"/>
    <w:link w:val="Style_37_ch"/>
    <w:pPr>
      <w:spacing w:line="240" w:lineRule="auto"/>
      <w:ind/>
      <w:jc w:val="both"/>
    </w:pPr>
    <w:rPr>
      <w:rFonts w:ascii="XO Thames" w:hAnsi="XO Thames"/>
      <w:sz w:val="20"/>
    </w:rPr>
  </w:style>
  <w:style w:styleId="Style_37_ch" w:type="character">
    <w:name w:val="Header and Footer"/>
    <w:link w:val="Style_37"/>
    <w:rPr>
      <w:rFonts w:ascii="XO Thames" w:hAnsi="XO Thames"/>
      <w:sz w:val="20"/>
    </w:rPr>
  </w:style>
  <w:style w:styleId="Style_13" w:type="paragraph">
    <w:name w:val="Default"/>
    <w:link w:val="Style_13_ch"/>
    <w:rPr>
      <w:rFonts w:ascii="Times New Roman" w:hAnsi="Times New Roman"/>
      <w:color w:val="000000"/>
      <w:sz w:val="24"/>
    </w:rPr>
  </w:style>
  <w:style w:styleId="Style_13_ch" w:type="character">
    <w:name w:val="Default"/>
    <w:link w:val="Style_13"/>
    <w:rPr>
      <w:rFonts w:ascii="Times New Roman" w:hAnsi="Times New Roman"/>
      <w:color w:val="000000"/>
      <w:sz w:val="24"/>
    </w:rPr>
  </w:style>
  <w:style w:styleId="Style_38" w:type="paragraph">
    <w:name w:val="toc 9"/>
    <w:next w:val="Style_14"/>
    <w:link w:val="Style_3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8_ch" w:type="character">
    <w:name w:val="toc 9"/>
    <w:link w:val="Style_38"/>
    <w:rPr>
      <w:rFonts w:ascii="XO Thames" w:hAnsi="XO Thames"/>
      <w:sz w:val="28"/>
    </w:rPr>
  </w:style>
  <w:style w:styleId="Style_39" w:type="paragraph">
    <w:name w:val="Body Text 2"/>
    <w:basedOn w:val="Style_14"/>
    <w:link w:val="Style_39_ch"/>
    <w:pPr>
      <w:spacing w:after="120" w:line="480" w:lineRule="auto"/>
      <w:ind/>
    </w:pPr>
  </w:style>
  <w:style w:styleId="Style_39_ch" w:type="character">
    <w:name w:val="Body Text 2"/>
    <w:basedOn w:val="Style_14_ch"/>
    <w:link w:val="Style_39"/>
  </w:style>
  <w:style w:styleId="Style_8" w:type="paragraph">
    <w:name w:val="Body Text Indent"/>
    <w:basedOn w:val="Style_14"/>
    <w:link w:val="Style_8_ch"/>
    <w:pPr>
      <w:widowControl w:val="1"/>
      <w:spacing w:after="120" w:line="276" w:lineRule="auto"/>
      <w:ind w:firstLine="0" w:left="283"/>
    </w:pPr>
    <w:rPr>
      <w:rFonts w:ascii="Calibri" w:hAnsi="Calibri"/>
      <w:sz w:val="22"/>
    </w:rPr>
  </w:style>
  <w:style w:styleId="Style_8_ch" w:type="character">
    <w:name w:val="Body Text Indent"/>
    <w:basedOn w:val="Style_14_ch"/>
    <w:link w:val="Style_8"/>
    <w:rPr>
      <w:rFonts w:ascii="Calibri" w:hAnsi="Calibri"/>
      <w:sz w:val="22"/>
    </w:rPr>
  </w:style>
  <w:style w:styleId="Style_40" w:type="paragraph">
    <w:name w:val="toc 8"/>
    <w:next w:val="Style_14"/>
    <w:link w:val="Style_4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41" w:type="paragraph">
    <w:name w:val="Style7"/>
    <w:basedOn w:val="Style_14"/>
    <w:link w:val="Style_41_ch"/>
  </w:style>
  <w:style w:styleId="Style_41_ch" w:type="character">
    <w:name w:val="Style7"/>
    <w:basedOn w:val="Style_14_ch"/>
    <w:link w:val="Style_41"/>
  </w:style>
  <w:style w:styleId="Style_42" w:type="paragraph">
    <w:name w:val="toc 5"/>
    <w:next w:val="Style_14"/>
    <w:link w:val="Style_4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2_ch" w:type="character">
    <w:name w:val="toc 5"/>
    <w:link w:val="Style_42"/>
    <w:rPr>
      <w:rFonts w:ascii="XO Thames" w:hAnsi="XO Thames"/>
      <w:sz w:val="28"/>
    </w:rPr>
  </w:style>
  <w:style w:styleId="Style_11" w:type="paragraph">
    <w:name w:val="Style1"/>
    <w:basedOn w:val="Style_14"/>
    <w:link w:val="Style_11_ch"/>
  </w:style>
  <w:style w:styleId="Style_11_ch" w:type="character">
    <w:name w:val="Style1"/>
    <w:basedOn w:val="Style_14_ch"/>
    <w:link w:val="Style_11"/>
  </w:style>
  <w:style w:styleId="Style_12" w:type="paragraph">
    <w:name w:val="Абзац списка1"/>
    <w:basedOn w:val="Style_14"/>
    <w:link w:val="Style_12_ch"/>
    <w:pPr>
      <w:widowControl w:val="1"/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2_ch" w:type="character">
    <w:name w:val="Абзац списка1"/>
    <w:basedOn w:val="Style_14_ch"/>
    <w:link w:val="Style_12"/>
    <w:rPr>
      <w:rFonts w:ascii="Calibri" w:hAnsi="Calibri"/>
      <w:sz w:val="22"/>
    </w:rPr>
  </w:style>
  <w:style w:styleId="Style_43" w:type="paragraph">
    <w:name w:val="Subtitle"/>
    <w:next w:val="Style_14"/>
    <w:link w:val="Style_4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3_ch" w:type="character">
    <w:name w:val="Subtitle"/>
    <w:link w:val="Style_43"/>
    <w:rPr>
      <w:rFonts w:ascii="XO Thames" w:hAnsi="XO Thames"/>
      <w:i w:val="1"/>
      <w:sz w:val="24"/>
    </w:rPr>
  </w:style>
  <w:style w:styleId="Style_44" w:type="paragraph">
    <w:name w:val="Title"/>
    <w:next w:val="Style_14"/>
    <w:link w:val="Style_4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4_ch" w:type="character">
    <w:name w:val="Title"/>
    <w:link w:val="Style_44"/>
    <w:rPr>
      <w:rFonts w:ascii="XO Thames" w:hAnsi="XO Thames"/>
      <w:b w:val="1"/>
      <w:caps w:val="1"/>
      <w:sz w:val="40"/>
    </w:rPr>
  </w:style>
  <w:style w:styleId="Style_45" w:type="paragraph">
    <w:name w:val="heading 4"/>
    <w:basedOn w:val="Style_14"/>
    <w:next w:val="Style_14"/>
    <w:link w:val="Style_45_ch"/>
    <w:uiPriority w:val="9"/>
    <w:qFormat/>
    <w:pPr>
      <w:keepNext w:val="1"/>
      <w:widowControl w:val="1"/>
      <w:spacing w:after="60" w:before="240"/>
      <w:ind/>
      <w:outlineLvl w:val="3"/>
    </w:pPr>
    <w:rPr>
      <w:b w:val="1"/>
      <w:i w:val="1"/>
    </w:rPr>
  </w:style>
  <w:style w:styleId="Style_45_ch" w:type="character">
    <w:name w:val="heading 4"/>
    <w:basedOn w:val="Style_14_ch"/>
    <w:link w:val="Style_45"/>
    <w:rPr>
      <w:b w:val="1"/>
      <w:i w:val="1"/>
    </w:rPr>
  </w:style>
  <w:style w:styleId="Style_10" w:type="paragraph">
    <w:name w:val="Style2"/>
    <w:basedOn w:val="Style_14"/>
    <w:link w:val="Style_10_ch"/>
    <w:pPr>
      <w:spacing w:line="276" w:lineRule="exact"/>
      <w:ind/>
      <w:jc w:val="both"/>
    </w:pPr>
  </w:style>
  <w:style w:styleId="Style_10_ch" w:type="character">
    <w:name w:val="Style2"/>
    <w:basedOn w:val="Style_14_ch"/>
    <w:link w:val="Style_10"/>
  </w:style>
  <w:style w:styleId="Style_46" w:type="paragraph">
    <w:name w:val="heading 2"/>
    <w:next w:val="Style_14"/>
    <w:link w:val="Style_4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6_ch" w:type="character">
    <w:name w:val="heading 2"/>
    <w:link w:val="Style_46"/>
    <w:rPr>
      <w:rFonts w:ascii="XO Thames" w:hAnsi="XO Thames"/>
      <w:b w:val="1"/>
      <w:sz w:val="28"/>
    </w:rPr>
  </w:style>
  <w:style w:styleId="Style_47" w:type="table">
    <w:name w:val="Table Grid"/>
    <w:basedOn w:val="Style_1"/>
    <w:rPr>
      <w:rFonts w:ascii="Arial Unicode MS" w:hAnsi="Arial Unicode MS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2026-11-05T08:49:15Z</dcterms:modified>
</cp:coreProperties>
</file>